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Override ContentType="application/vnd.openxmlformats-officedocument.wordprocessingml.header+xml" PartName="/word/header4.xml"/>
  <Override ContentType="application/vnd.openxmlformats-officedocument.wordprocessingml.footer+xml" PartName="/word/footer4.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600"/>
        <w:jc w:val="center"/>
      </w:pPr>
      <w:r>
        <w:rPr>
          <w:b/>
          <w:bCs/>
          <w:color w:val="1F3864"/>
          <w:sz w:val="24"/>
          <w:szCs w:val="24"/>
        </w:rPr>
        <w:t xml:space="preserve">PHENICIE BUSINESS MANAGEMENT</w:t>
      </w:r>
    </w:p>
    <w:p>
      <w:pPr>
        <w:spacing w:after="400"/>
        <w:jc w:val="center"/>
      </w:pPr>
      <w:r>
        <w:rPr>
          <w:color w:val="555555"/>
          <w:sz w:val="20"/>
          <w:szCs w:val="20"/>
        </w:rPr>
        <w:t xml:space="preserve">Compliance Toolkit</w:t>
      </w:r>
    </w:p>
    <w:p>
      <w:pPr>
        <w:spacing w:after="200" w:before="800"/>
        <w:jc w:val="center"/>
      </w:pPr>
      <w:r>
        <w:rPr>
          <w:b/>
          <w:bCs/>
          <w:color w:val="1F3864"/>
          <w:sz w:val="40"/>
          <w:szCs w:val="40"/>
        </w:rPr>
        <w:t xml:space="preserve">MONTANA DATA BREACH</w:t>
      </w:r>
    </w:p>
    <w:p>
      <w:pPr>
        <w:spacing w:after="600"/>
        <w:jc w:val="center"/>
      </w:pPr>
      <w:r>
        <w:rPr>
          <w:b/>
          <w:bCs/>
          <w:color w:val="1F3864"/>
          <w:sz w:val="32"/>
          <w:szCs w:val="32"/>
        </w:rPr>
        <w:t xml:space="preserve">NOTIFICATION FORM &amp; TEMPLATE PACKET</w:t>
      </w:r>
    </w:p>
    <w:p>
      <w:pPr>
        <w:spacing w:after="100" w:before="200"/>
        <w:jc w:val="center"/>
      </w:pPr>
      <w:r>
        <w:rPr>
          <w:i/>
          <w:iCs/>
          <w:sz w:val="18"/>
          <w:szCs w:val="18"/>
        </w:rPr>
        <w:t xml:space="preserve">Prepared under Mont. Code Ann. § 30-14-1704 (Notification of Breach of Security)</w:t>
      </w:r>
    </w:p>
    <w:p>
      <w:pPr>
        <w:spacing w:after="800"/>
        <w:jc w:val="center"/>
      </w:pPr>
      <w:r>
        <w:rPr>
          <w:i/>
          <w:iCs/>
          <w:sz w:val="18"/>
          <w:szCs w:val="18"/>
        </w:rPr>
        <w:t xml:space="preserve">State agency incidents: see Mont. Code Ann. §§ 2-6-1501 to 2-6-1503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CEAEA" w:val="clear"/>
            <w:tcMar>
              <w:top w:type="dxa" w:w="200"/>
              <w:left w:type="dxa" w:w="200"/>
              <w:bottom w:type="dxa" w:w="200"/>
              <w:right w:type="dxa" w:w="200"/>
            </w:tcMar>
          </w:tcPr>
          <w:p>
            <w:r>
              <w:rPr>
                <w:b/>
                <w:bCs/>
                <w:color w:val="B00000"/>
                <w:sz w:val="20"/>
                <w:szCs w:val="20"/>
              </w:rPr>
              <w:t xml:space="preserve">TEMPLATE — NOT LEGAL ADVICE</w:t>
            </w:r>
          </w:p>
          <w:p>
            <w:pPr>
              <w:spacing w:before="100"/>
            </w:pPr>
            <w:r>
              <w:rPr>
                <w:sz w:val="18"/>
                <w:szCs w:val="18"/>
              </w:rPr>
              <w:t xml:space="preserve">This packet is a working template for incident-response planning and client compliance binders. Montana's statute is silent on required notice content and on how the Office of Consumer Protection accepts submissions (no prescribed state form exists as of this writing). Before using in an active incident, verify current submission mechanics at dojmt.gov and have legal counsel review the specific facts, especially for breaches also triggering HIPAA, GLBA, or other sector rules.</w:t>
            </w:r>
          </w:p>
        </w:tc>
      </w:tr>
    </w:tbl>
    <w:p>
      <w:pPr>
        <w:spacing w:before="800"/>
        <w:jc w:val="center"/>
      </w:pPr>
      <w:r>
        <w:rPr>
          <w:color w:val="555555"/>
          <w:sz w:val="16"/>
          <w:szCs w:val="16"/>
        </w:rPr>
        <w:t xml:space="preserve">Contents: (1) Quick-Reference Requirements  (2) Incident Response Checklist  (3) OCP/AG Notification Form  (4) Resident Notification Letter Template</w:t>
      </w:r>
    </w:p>
    <w:p>
      <w:pPr>
        <w:sectPr>
          <w:pgSz w:w="12240" w:h="15840" w:orient="portrait"/>
          <w:pgMar w:top="1080" w:right="1080" w:bottom="1080" w:left="1080" w:header="708" w:footer="708" w:gutter="0"/>
          <w:pgNumType/>
          <w:docGrid w:linePitch="360"/>
        </w:sectPr>
      </w:pPr>
    </w:p>
    <w:p>
      <w:pPr>
        <w:pStyle w:val="Heading1"/>
        <w:pBdr>
          <w:bottom w:val="single" w:color="1F3864" w:sz="6" w:space="4"/>
        </w:pBdr>
        <w:spacing w:after="160" w:before="320"/>
      </w:pPr>
      <w:r>
        <w:rPr>
          <w:b/>
          <w:bCs/>
          <w:color w:val="1F3864"/>
          <w:sz w:val="28"/>
          <w:szCs w:val="28"/>
        </w:rPr>
        <w:t xml:space="preserve">1. Quick-Reference: Montana Breach Notification Requirements</w:t>
      </w:r>
    </w:p>
    <w:p>
      <w:pPr>
        <w:pStyle w:val="Heading2"/>
        <w:spacing w:after="100" w:before="240"/>
      </w:pPr>
      <w:r>
        <w:rPr>
          <w:b/>
          <w:bCs/>
          <w:color w:val="1F3864"/>
          <w:sz w:val="22"/>
          <w:szCs w:val="22"/>
        </w:rPr>
        <w:t xml:space="preserve">Who must comply</w:t>
      </w:r>
    </w:p>
    <w:p>
      <w:pPr>
        <w:spacing w:after="120"/>
      </w:pPr>
      <w:r>
        <w:rPr>
          <w:sz w:val="20"/>
          <w:szCs w:val="20"/>
        </w:rPr>
        <w:t xml:space="preserve">Any person or business that conducts business in Montana and owns, licenses, or maintains computerized data including personal information of a Montana resident. A third party that merely maintains data on behalf of an owner must notify the data owner immediately upon discovery — the owner remains responsible for consumer and OCP notice.</w:t>
      </w:r>
    </w:p>
    <w:p>
      <w:pPr>
        <w:pStyle w:val="Heading2"/>
        <w:spacing w:after="100" w:before="240"/>
      </w:pPr>
      <w:r>
        <w:rPr>
          <w:b/>
          <w:bCs/>
          <w:color w:val="1F3864"/>
          <w:sz w:val="22"/>
          <w:szCs w:val="22"/>
        </w:rPr>
        <w:t xml:space="preserve">What triggers notice</w:t>
      </w:r>
    </w:p>
    <w:p>
      <w:pPr>
        <w:spacing w:after="120"/>
      </w:pPr>
      <w:r>
        <w:rPr>
          <w:sz w:val="20"/>
          <w:szCs w:val="20"/>
        </w:rPr>
        <w:t xml:space="preserve">Unauthorized acquisition of unencrypted computerized data that materially compromises the security, confidentiality, or integrity of personal information, and that causes or is reasonably believed to cause loss or injury to a Montana resident. Good-faith acquisition by an employee or agent, with no further unauthorized use or disclosure, is not a breach.</w:t>
      </w:r>
    </w:p>
    <w:p>
      <w:pPr>
        <w:pStyle w:val="Heading2"/>
        <w:spacing w:after="100" w:before="240"/>
      </w:pPr>
      <w:r>
        <w:rPr>
          <w:b/>
          <w:bCs/>
          <w:color w:val="1F3864"/>
          <w:sz w:val="22"/>
          <w:szCs w:val="22"/>
        </w:rPr>
        <w:t xml:space="preserve">"Personal information" (first name/initial + last name, plus any of)</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8860"/>
      </w:tblGrid>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Social Security number</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Driver's license, state ID, or tribal ID number</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Financial account, credit, or debit card number combined with any required security/access code or password</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Medical record information</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Taxpayer identification number</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IRS identity protection PIN</w:t>
            </w:r>
          </w:p>
        </w:tc>
      </w:tr>
    </w:tbl>
    <w:p>
      <w:pPr>
        <w:spacing w:after="160" w:before="80"/>
      </w:pPr>
      <w:r>
        <w:rPr>
          <w:i/>
          <w:iCs/>
          <w:color w:val="555555"/>
          <w:sz w:val="18"/>
          <w:szCs w:val="18"/>
        </w:rPr>
        <w:t xml:space="preserve">Publicly available information lawfully obtained from federal, state, or local government records is excluded.</w:t>
      </w:r>
    </w:p>
    <w:p>
      <w:pPr>
        <w:pStyle w:val="Heading2"/>
        <w:spacing w:after="100" w:before="240"/>
      </w:pPr>
      <w:r>
        <w:rPr>
          <w:b/>
          <w:bCs/>
          <w:color w:val="1F3864"/>
          <w:sz w:val="22"/>
          <w:szCs w:val="22"/>
        </w:rPr>
        <w:t xml:space="preserve">Deadlines</w:t>
      </w:r>
    </w:p>
    <w:p>
      <w:pPr>
        <w:pStyle w:val="ListParagraph"/>
        <w:numPr>
          <w:ilvl w:val="0"/>
          <w:numId w:val="2"/>
        </w:numPr>
        <w:spacing w:after="60"/>
      </w:pPr>
      <w:r>
        <w:rPr>
          <w:sz w:val="20"/>
          <w:szCs w:val="20"/>
        </w:rPr>
        <w:t xml:space="preserve">To Montana residents: without unreasonable delay. Delay is permitted only as needed to determine scope, restore system integrity, or comply with a law enforcement request.</w:t>
      </w:r>
    </w:p>
    <w:p>
      <w:pPr>
        <w:pStyle w:val="ListParagraph"/>
        <w:numPr>
          <w:ilvl w:val="0"/>
          <w:numId w:val="2"/>
        </w:numPr>
        <w:spacing w:after="60"/>
      </w:pPr>
      <w:r>
        <w:rPr>
          <w:sz w:val="20"/>
          <w:szCs w:val="20"/>
        </w:rPr>
        <w:t xml:space="preserve">To the Attorney General's Office of Consumer Protection (OCP): an electronic copy of the notice is submitted simultaneously with notice to residents — for every breach involving a Montana resident, regardless of headcount. There is no minimum-affected threshold that exempts AG notice in Montana (unlike many other states).</w:t>
      </w:r>
    </w:p>
    <w:p>
      <w:pPr>
        <w:pStyle w:val="ListParagraph"/>
        <w:numPr>
          <w:ilvl w:val="0"/>
          <w:numId w:val="2"/>
        </w:numPr>
        <w:spacing w:after="60"/>
      </w:pPr>
      <w:r>
        <w:rPr>
          <w:sz w:val="20"/>
          <w:szCs w:val="20"/>
        </w:rPr>
        <w:t xml:space="preserve">Third-party data maintainers notify the data owner immediately following discovery.</w:t>
      </w:r>
    </w:p>
    <w:p>
      <w:pPr>
        <w:pStyle w:val="Heading2"/>
        <w:spacing w:after="100" w:before="240"/>
      </w:pPr>
      <w:r>
        <w:rPr>
          <w:b/>
          <w:bCs/>
          <w:color w:val="1F3864"/>
          <w:sz w:val="22"/>
          <w:szCs w:val="22"/>
        </w:rPr>
        <w:t xml:space="preserve">How residents are notified</w:t>
      </w:r>
    </w:p>
    <w:p>
      <w:pPr>
        <w:pStyle w:val="ListParagraph"/>
        <w:numPr>
          <w:ilvl w:val="0"/>
          <w:numId w:val="2"/>
        </w:numPr>
        <w:spacing w:after="60"/>
      </w:pPr>
      <w:r>
        <w:rPr>
          <w:sz w:val="20"/>
          <w:szCs w:val="20"/>
        </w:rPr>
        <w:t xml:space="preserve">Standard: written notice, electronic notice, or telephone notice.</w:t>
      </w:r>
    </w:p>
    <w:p>
      <w:pPr>
        <w:pStyle w:val="ListParagraph"/>
        <w:numPr>
          <w:ilvl w:val="0"/>
          <w:numId w:val="2"/>
        </w:numPr>
        <w:spacing w:after="60"/>
      </w:pPr>
      <w:r>
        <w:rPr>
          <w:sz w:val="20"/>
          <w:szCs w:val="20"/>
        </w:rPr>
        <w:t xml:space="preserve">Substitute notice (email + conspicuous website posting + statewide media notice) is allowed only if: cost would exceed $250,000, the affected class exceeds 500,000 Montana residents, or sufficient contact information is unavailable.</w:t>
      </w:r>
    </w:p>
    <w:p>
      <w:pPr>
        <w:pStyle w:val="Heading2"/>
        <w:spacing w:after="100" w:before="240"/>
      </w:pPr>
      <w:r>
        <w:rPr>
          <w:b/>
          <w:bCs/>
          <w:color w:val="1F3864"/>
          <w:sz w:val="22"/>
          <w:szCs w:val="22"/>
        </w:rPr>
        <w:t xml:space="preserve">Submission to OCP — practical steps</w:t>
      </w:r>
    </w:p>
    <w:p>
      <w:pPr>
        <w:pStyle w:val="ListParagraph"/>
        <w:numPr>
          <w:ilvl w:val="0"/>
          <w:numId w:val="2"/>
        </w:numPr>
        <w:spacing w:after="60"/>
      </w:pPr>
      <w:r>
        <w:rPr>
          <w:sz w:val="20"/>
          <w:szCs w:val="20"/>
        </w:rPr>
        <w:t xml:space="preserve">Send an electronic copy of the consumer notice to the Office of Consumer Protection at the same time notice goes to residents.</w:t>
      </w:r>
    </w:p>
    <w:p>
      <w:pPr>
        <w:pStyle w:val="ListParagraph"/>
        <w:numPr>
          <w:ilvl w:val="0"/>
          <w:numId w:val="2"/>
        </w:numPr>
        <w:spacing w:after="60"/>
      </w:pPr>
      <w:r>
        <w:rPr>
          <w:sz w:val="20"/>
          <w:szCs w:val="20"/>
        </w:rPr>
        <w:t xml:space="preserve">Strip out affected consumers' personally identifiable information before sending the copy to OCP — send the template/form letter, not the mail-merge with names and account numbers.</w:t>
      </w:r>
    </w:p>
    <w:p>
      <w:pPr>
        <w:pStyle w:val="ListParagraph"/>
        <w:numPr>
          <w:ilvl w:val="0"/>
          <w:numId w:val="2"/>
        </w:numPr>
        <w:spacing w:after="60"/>
      </w:pPr>
      <w:r>
        <w:rPr>
          <w:sz w:val="20"/>
          <w:szCs w:val="20"/>
        </w:rPr>
        <w:t xml:space="preserve">If notifying more than one Montana resident, one representative copy is sufficient — state the total number of Montana residents notified.</w:t>
      </w:r>
    </w:p>
    <w:p>
      <w:pPr>
        <w:pStyle w:val="ListParagraph"/>
        <w:numPr>
          <w:ilvl w:val="0"/>
          <w:numId w:val="2"/>
        </w:numPr>
        <w:spacing w:after="60"/>
      </w:pPr>
      <w:r>
        <w:rPr>
          <w:sz w:val="20"/>
          <w:szCs w:val="20"/>
        </w:rPr>
        <w:t xml:space="preserve">Include the date(s) notice was distributed and the method used (mail, email, phone, substitute notice).</w:t>
      </w:r>
    </w:p>
    <w:p>
      <w:pPr>
        <w:spacing w:after="160" w:before="80"/>
      </w:pPr>
      <w:r>
        <w:rPr>
          <w:i/>
          <w:iCs/>
          <w:color w:val="555555"/>
          <w:sz w:val="18"/>
          <w:szCs w:val="18"/>
        </w:rPr>
        <w:t xml:space="preserve">Verify current submission channel (email address / portal) at dojmt.gov/office-of-consumer-protection before filing — Montana does not publish a mandatory statutory form, and the intake process can change.</w:t>
      </w:r>
    </w:p>
    <w:p>
      <w:pPr>
        <w:pStyle w:val="Heading2"/>
        <w:spacing w:after="100" w:before="240"/>
      </w:pPr>
      <w:r>
        <w:rPr>
          <w:b/>
          <w:bCs/>
          <w:color w:val="1F3864"/>
          <w:sz w:val="22"/>
          <w:szCs w:val="22"/>
        </w:rPr>
        <w:t xml:space="preserve">Sector carve-outs</w:t>
      </w:r>
    </w:p>
    <w:p>
      <w:pPr>
        <w:pStyle w:val="ListParagraph"/>
        <w:numPr>
          <w:ilvl w:val="0"/>
          <w:numId w:val="2"/>
        </w:numPr>
        <w:spacing w:after="60"/>
      </w:pPr>
      <w:r>
        <w:rPr>
          <w:sz w:val="20"/>
          <w:szCs w:val="20"/>
        </w:rPr>
        <w:t xml:space="preserve">Insurance licensees report under Mont. Code Ann. § 33-19-321 to the state Insurance Commissioner instead of the AG.</w:t>
      </w:r>
    </w:p>
    <w:p>
      <w:pPr>
        <w:pStyle w:val="ListParagraph"/>
        <w:numPr>
          <w:ilvl w:val="0"/>
          <w:numId w:val="2"/>
        </w:numPr>
        <w:spacing w:after="60"/>
      </w:pPr>
      <w:r>
        <w:rPr>
          <w:sz w:val="20"/>
          <w:szCs w:val="20"/>
        </w:rPr>
        <w:t xml:space="preserve">HIPAA-covered entities/business associates: Montana notice is in addition to, not a substitute for, HHS/OCR and affected-individual notice under the HIPAA Breach Notification Rule.</w:t>
      </w:r>
    </w:p>
    <w:p>
      <w:pPr>
        <w:pStyle w:val="ListParagraph"/>
        <w:numPr>
          <w:ilvl w:val="0"/>
          <w:numId w:val="2"/>
        </w:numPr>
        <w:spacing w:after="60"/>
      </w:pPr>
      <w:r>
        <w:rPr>
          <w:sz w:val="20"/>
          <w:szCs w:val="20"/>
        </w:rPr>
        <w:t xml:space="preserve">GLBA-regulated financial institutions in compliance with their functional regulator's breach notice rules are deemed compliant with the Montana statute for that incident.</w:t>
      </w:r>
    </w:p>
    <w:p>
      <w:pPr>
        <w:pStyle w:val="Heading2"/>
        <w:spacing w:after="100" w:before="240"/>
      </w:pPr>
      <w:r>
        <w:rPr>
          <w:b/>
          <w:bCs/>
          <w:color w:val="1F3864"/>
          <w:sz w:val="22"/>
          <w:szCs w:val="22"/>
        </w:rPr>
        <w:t xml:space="preserve">Penalties</w:t>
      </w:r>
    </w:p>
    <w:p>
      <w:pPr>
        <w:spacing w:after="120"/>
      </w:pPr>
      <w:r>
        <w:rPr>
          <w:sz w:val="20"/>
          <w:szCs w:val="20"/>
        </w:rPr>
        <w:t xml:space="preserve">A violation is an unfair or deceptive trade practice under the Montana Unfair Trade Practices Act. The Attorney General may seek injunctive relief, restitution, and civil penalties of up to $10,000 per willful violation. There is no private right of action — only the AG enforces.</w:t>
      </w:r>
    </w:p>
    <w:p>
      <w:pPr>
        <w:sectPr>
          <w:headerReference w:type="default" r:id="rId7"/>
          <w:footerReference w:type="default" r:id="rId8"/>
          <w:pgSz w:w="12240" w:h="15840" w:orient="portrait"/>
          <w:pgMar w:top="1080" w:right="1080" w:bottom="1080" w:left="1080" w:header="708" w:footer="708" w:gutter="0"/>
          <w:pgNumType/>
          <w:docGrid w:linePitch="360"/>
        </w:sectPr>
      </w:pPr>
    </w:p>
    <w:p>
      <w:pPr>
        <w:pStyle w:val="Heading1"/>
        <w:pBdr>
          <w:bottom w:val="single" w:color="1F3864" w:sz="6" w:space="4"/>
        </w:pBdr>
        <w:spacing w:after="160" w:before="320"/>
      </w:pPr>
      <w:r>
        <w:rPr>
          <w:b/>
          <w:bCs/>
          <w:color w:val="1F3864"/>
          <w:sz w:val="28"/>
          <w:szCs w:val="28"/>
        </w:rPr>
        <w:t xml:space="preserve">2. Incident Response Checklist</w:t>
      </w:r>
    </w:p>
    <w:p>
      <w:pPr>
        <w:spacing w:after="120"/>
      </w:pPr>
      <w:r>
        <w:rPr>
          <w:sz w:val="20"/>
          <w:szCs w:val="20"/>
        </w:rPr>
        <w:t xml:space="preserve">Work top to bottom. Timestamp each step — the OCP submission and resident letters both ask for dates.</w:t>
      </w:r>
    </w:p>
    <w:p>
      <w:pPr>
        <w:pStyle w:val="Heading2"/>
        <w:spacing w:after="100" w:before="240"/>
      </w:pPr>
      <w:r>
        <w:rPr>
          <w:b/>
          <w:bCs/>
          <w:color w:val="1F3864"/>
          <w:sz w:val="22"/>
          <w:szCs w:val="22"/>
        </w:rPr>
        <w:t xml:space="preserve">Immediate (0–24 hours)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8860"/>
      </w:tblGrid>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Contain the incident (isolate systems, revoke credentials, preserve logs/evidence)</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Open an internal incident log with discovery date/time and initial scope</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Notify cyber insurance carrier and outside counsel (privilege the investigation where possible)</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Engage forensic/IR support if scope or root cause is unclear</w:t>
            </w:r>
          </w:p>
        </w:tc>
      </w:tr>
    </w:tbl>
    <w:p>
      <w:pPr>
        <w:pStyle w:val="Heading2"/>
        <w:spacing w:after="100" w:before="240"/>
      </w:pPr>
      <w:r>
        <w:rPr>
          <w:b/>
          <w:bCs/>
          <w:color w:val="1F3864"/>
          <w:sz w:val="22"/>
          <w:szCs w:val="22"/>
        </w:rPr>
        <w:t xml:space="preserve">Scoping (Days 1–5)</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8860"/>
      </w:tblGrid>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Confirm whether Montana-defined personal information was unencrypted and likely acquired</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Identify total individuals affected and how many are Montana residents</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Determine if other statutes apply (HIPAA, GLBA, other states' breach laws, PCI-DSS, contractual notice clauses)</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Decide notification method (mail/email/phone) and whether the substitute-notice thresholds apply</w:t>
            </w:r>
          </w:p>
        </w:tc>
      </w:tr>
    </w:tbl>
    <w:p>
      <w:pPr>
        <w:pStyle w:val="Heading2"/>
        <w:spacing w:after="100" w:before="240"/>
      </w:pPr>
      <w:r>
        <w:rPr>
          <w:b/>
          <w:bCs/>
          <w:color w:val="1F3864"/>
          <w:sz w:val="22"/>
          <w:szCs w:val="22"/>
        </w:rPr>
        <w:t xml:space="preserve">Notification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8860"/>
      </w:tblGrid>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Finalize resident notification letter (Section 4) and legal/counsel sign-off</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Distribute notice to affected Montana residents without unreasonable delay</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Submit electronic copy of the notice to OCP simultaneously (Section 3), with PII stripped</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If insurance-licensee, file with the Montana Insurance Commissioner instead of/in addition to OCP</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If other states' residents affected, confirm and complete each state's separate notice obligations</w:t>
            </w:r>
          </w:p>
        </w:tc>
      </w:tr>
    </w:tbl>
    <w:p>
      <w:pPr>
        <w:pStyle w:val="Heading2"/>
        <w:spacing w:after="100" w:before="240"/>
      </w:pPr>
      <w:r>
        <w:rPr>
          <w:b/>
          <w:bCs/>
          <w:color w:val="1F3864"/>
          <w:sz w:val="22"/>
          <w:szCs w:val="22"/>
        </w:rPr>
        <w:t xml:space="preserve">After notification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8860"/>
      </w:tblGrid>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Log OCP submission date, method, and confirmation (or send-receipt) for the client file</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Set up credit monitoring / call-center support if offered</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Document remediation steps taken and completed</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Debrief: update client's incident response plan and PBM/DarkScanPro monitoring based on root cause</w:t>
            </w:r>
          </w:p>
        </w:tc>
      </w:tr>
    </w:tbl>
    <w:p>
      <w:pPr>
        <w:sectPr>
          <w:headerReference w:type="default" r:id="rId9"/>
          <w:footerReference w:type="default" r:id="rId10"/>
          <w:pgSz w:w="12240" w:h="15840" w:orient="portrait"/>
          <w:pgMar w:top="1080" w:right="1080" w:bottom="1080" w:left="1080" w:header="708" w:footer="708" w:gutter="0"/>
          <w:pgNumType/>
          <w:docGrid w:linePitch="360"/>
        </w:sectPr>
      </w:pPr>
    </w:p>
    <w:p>
      <w:pPr>
        <w:pStyle w:val="Heading1"/>
        <w:pBdr>
          <w:bottom w:val="single" w:color="1F3864" w:sz="6" w:space="4"/>
        </w:pBdr>
        <w:spacing w:after="160" w:before="320"/>
      </w:pPr>
      <w:r>
        <w:rPr>
          <w:b/>
          <w:bCs/>
          <w:color w:val="1F3864"/>
          <w:sz w:val="28"/>
          <w:szCs w:val="28"/>
        </w:rPr>
        <w:t xml:space="preserve">3. Notification to the Montana Office of Consumer Protection</w:t>
      </w:r>
    </w:p>
    <w:p>
      <w:pPr>
        <w:spacing w:after="160" w:before="80"/>
      </w:pPr>
      <w:r>
        <w:rPr>
          <w:i/>
          <w:iCs/>
          <w:color w:val="555555"/>
          <w:sz w:val="18"/>
          <w:szCs w:val="18"/>
        </w:rPr>
        <w:t xml:space="preserve">Submit this completed summary electronically to the Office of Consumer Protection, Montana Department of Justice, simultaneously with notice to affected residents. Confirm the current intake channel at dojmt.gov/office-of-consumer-protection. Do not include affected consumers' names, account numbers, or other PII in this submission.</w:t>
      </w:r>
    </w:p>
    <w:p>
      <w:pPr>
        <w:pStyle w:val="Heading2"/>
        <w:spacing w:after="100" w:before="240"/>
      </w:pPr>
      <w:r>
        <w:rPr>
          <w:b/>
          <w:bCs/>
          <w:color w:val="1F3864"/>
          <w:sz w:val="22"/>
          <w:szCs w:val="22"/>
        </w:rPr>
        <w:t xml:space="preserve">Reporting entity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shd w:fill="F2F2F2" w:val="clear"/>
            <w:tcMar>
              <w:top w:type="dxa" w:w="80"/>
              <w:left w:type="dxa" w:w="100"/>
              <w:bottom w:type="dxa" w:w="80"/>
              <w:right w:type="dxa" w:w="100"/>
            </w:tcMar>
            <w:vAlign w:val="center"/>
          </w:tcPr>
          <w:p>
            <w:r>
              <w:rPr>
                <w:b/>
                <w:bCs/>
                <w:sz w:val="18"/>
                <w:szCs w:val="18"/>
              </w:rPr>
              <w:t xml:space="preserve">Business/Entity Name</w:t>
            </w:r>
          </w:p>
        </w:tc>
        <w:tc>
          <w:tcPr>
            <w:tcW w:type="dxa" w:w="6960"/>
            <w:tcMar>
              <w:top w:type="dxa" w:w="80"/>
              <w:left w:type="dxa" w:w="100"/>
              <w:bottom w:type="dxa" w:w="80"/>
              <w:right w:type="dxa" w:w="100"/>
            </w:tcMar>
          </w:tcPr>
          <w:p>
            <w:r>
              <w:rPr>
                <w:sz w:val="18"/>
                <w:szCs w:val="18"/>
              </w:rPr>
              <w:t xml:space="preserve"/>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shd w:fill="F2F2F2" w:val="clear"/>
            <w:tcMar>
              <w:top w:type="dxa" w:w="80"/>
              <w:left w:type="dxa" w:w="100"/>
              <w:bottom w:type="dxa" w:w="80"/>
              <w:right w:type="dxa" w:w="100"/>
            </w:tcMar>
            <w:vAlign w:val="center"/>
          </w:tcPr>
          <w:p>
            <w:r>
              <w:rPr>
                <w:b/>
                <w:bCs/>
                <w:sz w:val="18"/>
                <w:szCs w:val="18"/>
              </w:rPr>
              <w:t xml:space="preserve">Mailing Address</w:t>
            </w:r>
          </w:p>
        </w:tc>
        <w:tc>
          <w:tcPr>
            <w:tcW w:type="dxa" w:w="6960"/>
            <w:tcMar>
              <w:top w:type="dxa" w:w="80"/>
              <w:left w:type="dxa" w:w="100"/>
              <w:bottom w:type="dxa" w:w="80"/>
              <w:right w:type="dxa" w:w="100"/>
            </w:tcMar>
          </w:tcPr>
          <w:p>
            <w:r>
              <w:rPr>
                <w:sz w:val="18"/>
                <w:szCs w:val="18"/>
              </w:rPr>
              <w:t xml:space="preserve"/>
            </w:r>
          </w:p>
        </w:tc>
      </w:tr>
      <w:tr>
        <w:tc>
          <w:tcPr>
            <w:tcW w:type="dxa" w:w="2400"/>
            <w:shd w:fill="F2F2F2" w:val="clear"/>
            <w:tcMar>
              <w:top w:type="dxa" w:w="80"/>
              <w:left w:type="dxa" w:w="100"/>
              <w:bottom w:type="dxa" w:w="80"/>
              <w:right w:type="dxa" w:w="100"/>
            </w:tcMar>
            <w:vAlign w:val="center"/>
          </w:tcPr>
          <w:p>
            <w:r>
              <w:rPr>
                <w:b/>
                <w:bCs/>
                <w:sz w:val="18"/>
                <w:szCs w:val="18"/>
              </w:rPr>
              <w:t xml:space="preserve">City / State / ZIP</w:t>
            </w:r>
          </w:p>
        </w:tc>
        <w:tc>
          <w:tcPr>
            <w:tcW w:type="dxa" w:w="6960"/>
            <w:tcMar>
              <w:top w:type="dxa" w:w="80"/>
              <w:left w:type="dxa" w:w="100"/>
              <w:bottom w:type="dxa" w:w="80"/>
              <w:right w:type="dxa" w:w="100"/>
            </w:tcMar>
          </w:tcPr>
          <w:p>
            <w:r>
              <w:rPr>
                <w:sz w:val="18"/>
                <w:szCs w:val="18"/>
              </w:rPr>
              <w:t xml:space="preserve"/>
            </w:r>
          </w:p>
        </w:tc>
      </w:tr>
      <w:tr>
        <w:tc>
          <w:tcPr>
            <w:tcW w:type="dxa" w:w="2400"/>
            <w:shd w:fill="F2F2F2" w:val="clear"/>
            <w:tcMar>
              <w:top w:type="dxa" w:w="80"/>
              <w:left w:type="dxa" w:w="100"/>
              <w:bottom w:type="dxa" w:w="80"/>
              <w:right w:type="dxa" w:w="100"/>
            </w:tcMar>
            <w:vAlign w:val="center"/>
          </w:tcPr>
          <w:p>
            <w:r>
              <w:rPr>
                <w:b/>
                <w:bCs/>
                <w:sz w:val="18"/>
                <w:szCs w:val="18"/>
              </w:rPr>
              <w:t xml:space="preserve">Primary Contact Name &amp; Title</w:t>
            </w:r>
          </w:p>
        </w:tc>
        <w:tc>
          <w:tcPr>
            <w:tcW w:type="dxa" w:w="6960"/>
            <w:tcMar>
              <w:top w:type="dxa" w:w="80"/>
              <w:left w:type="dxa" w:w="100"/>
              <w:bottom w:type="dxa" w:w="80"/>
              <w:right w:type="dxa" w:w="100"/>
            </w:tcMar>
          </w:tcPr>
          <w:p>
            <w:r>
              <w:rPr>
                <w:sz w:val="18"/>
                <w:szCs w:val="18"/>
              </w:rPr>
              <w:t xml:space="preserve"/>
            </w:r>
          </w:p>
        </w:tc>
      </w:tr>
      <w:tr>
        <w:tc>
          <w:tcPr>
            <w:tcW w:type="dxa" w:w="2400"/>
            <w:shd w:fill="F2F2F2" w:val="clear"/>
            <w:tcMar>
              <w:top w:type="dxa" w:w="80"/>
              <w:left w:type="dxa" w:w="100"/>
              <w:bottom w:type="dxa" w:w="80"/>
              <w:right w:type="dxa" w:w="100"/>
            </w:tcMar>
            <w:vAlign w:val="center"/>
          </w:tcPr>
          <w:p>
            <w:r>
              <w:rPr>
                <w:b/>
                <w:bCs/>
                <w:sz w:val="18"/>
                <w:szCs w:val="18"/>
              </w:rPr>
              <w:t xml:space="preserve">Phone</w:t>
            </w:r>
          </w:p>
        </w:tc>
        <w:tc>
          <w:tcPr>
            <w:tcW w:type="dxa" w:w="6960"/>
            <w:tcMar>
              <w:top w:type="dxa" w:w="80"/>
              <w:left w:type="dxa" w:w="100"/>
              <w:bottom w:type="dxa" w:w="80"/>
              <w:right w:type="dxa" w:w="100"/>
            </w:tcMar>
          </w:tcPr>
          <w:p>
            <w:r>
              <w:rPr>
                <w:sz w:val="18"/>
                <w:szCs w:val="18"/>
              </w:rPr>
              <w:t xml:space="preserve"/>
            </w:r>
          </w:p>
        </w:tc>
      </w:tr>
      <w:tr>
        <w:tc>
          <w:tcPr>
            <w:tcW w:type="dxa" w:w="2400"/>
            <w:shd w:fill="F2F2F2" w:val="clear"/>
            <w:tcMar>
              <w:top w:type="dxa" w:w="80"/>
              <w:left w:type="dxa" w:w="100"/>
              <w:bottom w:type="dxa" w:w="80"/>
              <w:right w:type="dxa" w:w="100"/>
            </w:tcMar>
            <w:vAlign w:val="center"/>
          </w:tcPr>
          <w:p>
            <w:r>
              <w:rPr>
                <w:b/>
                <w:bCs/>
                <w:sz w:val="18"/>
                <w:szCs w:val="18"/>
              </w:rPr>
              <w:t xml:space="preserve">Email</w:t>
            </w:r>
          </w:p>
        </w:tc>
        <w:tc>
          <w:tcPr>
            <w:tcW w:type="dxa" w:w="6960"/>
            <w:tcMar>
              <w:top w:type="dxa" w:w="80"/>
              <w:left w:type="dxa" w:w="100"/>
              <w:bottom w:type="dxa" w:w="80"/>
              <w:right w:type="dxa" w:w="100"/>
            </w:tcMar>
          </w:tcPr>
          <w:p>
            <w:r>
              <w:rPr>
                <w:sz w:val="18"/>
                <w:szCs w:val="18"/>
              </w:rPr>
              <w:t xml:space="preserve"/>
            </w:r>
          </w:p>
        </w:tc>
      </w:tr>
    </w:tbl>
    <w:p>
      <w:pPr>
        <w:spacing w:before="200"/>
      </w:pPr>
    </w:p>
    <w:p>
      <w:pPr>
        <w:pStyle w:val="Heading2"/>
        <w:spacing w:after="100" w:before="240"/>
      </w:pPr>
      <w:r>
        <w:rPr>
          <w:b/>
          <w:bCs/>
          <w:color w:val="1F3864"/>
          <w:sz w:val="22"/>
          <w:szCs w:val="22"/>
        </w:rPr>
        <w:t xml:space="preserve">Incident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shd w:fill="F2F2F2" w:val="clear"/>
            <w:tcMar>
              <w:top w:type="dxa" w:w="80"/>
              <w:left w:type="dxa" w:w="100"/>
              <w:bottom w:type="dxa" w:w="80"/>
              <w:right w:type="dxa" w:w="100"/>
            </w:tcMar>
            <w:vAlign w:val="center"/>
          </w:tcPr>
          <w:p>
            <w:r>
              <w:rPr>
                <w:b/>
                <w:bCs/>
                <w:sz w:val="18"/>
                <w:szCs w:val="18"/>
              </w:rPr>
              <w:t xml:space="preserve">Date breach occurred (if known)</w:t>
            </w:r>
          </w:p>
        </w:tc>
        <w:tc>
          <w:tcPr>
            <w:tcW w:type="dxa" w:w="6960"/>
            <w:tcMar>
              <w:top w:type="dxa" w:w="80"/>
              <w:left w:type="dxa" w:w="100"/>
              <w:bottom w:type="dxa" w:w="80"/>
              <w:right w:type="dxa" w:w="100"/>
            </w:tcMar>
          </w:tcPr>
          <w:p>
            <w:r>
              <w:rPr>
                <w:sz w:val="18"/>
                <w:szCs w:val="18"/>
              </w:rPr>
              <w:t xml:space="preserve"/>
            </w:r>
          </w:p>
        </w:tc>
      </w:tr>
      <w:tr>
        <w:tc>
          <w:tcPr>
            <w:tcW w:type="dxa" w:w="2400"/>
            <w:shd w:fill="F2F2F2" w:val="clear"/>
            <w:tcMar>
              <w:top w:type="dxa" w:w="80"/>
              <w:left w:type="dxa" w:w="100"/>
              <w:bottom w:type="dxa" w:w="80"/>
              <w:right w:type="dxa" w:w="100"/>
            </w:tcMar>
            <w:vAlign w:val="center"/>
          </w:tcPr>
          <w:p>
            <w:r>
              <w:rPr>
                <w:b/>
                <w:bCs/>
                <w:sz w:val="18"/>
                <w:szCs w:val="18"/>
              </w:rPr>
              <w:t xml:space="preserve">Date breach discovered</w:t>
            </w:r>
          </w:p>
        </w:tc>
        <w:tc>
          <w:tcPr>
            <w:tcW w:type="dxa" w:w="6960"/>
            <w:tcMar>
              <w:top w:type="dxa" w:w="80"/>
              <w:left w:type="dxa" w:w="100"/>
              <w:bottom w:type="dxa" w:w="80"/>
              <w:right w:type="dxa" w:w="100"/>
            </w:tcMar>
          </w:tcPr>
          <w:p>
            <w:r>
              <w:rPr>
                <w:sz w:val="18"/>
                <w:szCs w:val="18"/>
              </w:rPr>
              <w:t xml:space="preserve"/>
            </w:r>
          </w:p>
        </w:tc>
      </w:tr>
      <w:tr>
        <w:tc>
          <w:tcPr>
            <w:tcW w:type="dxa" w:w="2400"/>
            <w:shd w:fill="F2F2F2" w:val="clear"/>
            <w:tcMar>
              <w:top w:type="dxa" w:w="80"/>
              <w:left w:type="dxa" w:w="100"/>
              <w:bottom w:type="dxa" w:w="80"/>
              <w:right w:type="dxa" w:w="100"/>
            </w:tcMar>
            <w:vAlign w:val="center"/>
          </w:tcPr>
          <w:p>
            <w:r>
              <w:rPr>
                <w:b/>
                <w:bCs/>
                <w:sz w:val="18"/>
                <w:szCs w:val="18"/>
              </w:rPr>
              <w:t xml:space="preserve">Brief description of incident</w:t>
            </w:r>
          </w:p>
        </w:tc>
        <w:tc>
          <w:tcPr>
            <w:tcW w:type="dxa" w:w="6960"/>
            <w:tcMar>
              <w:top w:type="dxa" w:w="80"/>
              <w:left w:type="dxa" w:w="100"/>
              <w:bottom w:type="dxa" w:w="80"/>
              <w:right w:type="dxa" w:w="100"/>
            </w:tcMar>
          </w:tcPr>
          <w:p>
            <w:r>
              <w:rPr>
                <w:sz w:val="18"/>
                <w:szCs w:val="18"/>
              </w:rPr>
              <w:t xml:space="preserve"/>
            </w:r>
          </w:p>
        </w:tc>
      </w:tr>
    </w:tbl>
    <w:p>
      <w:pPr>
        <w:spacing w:before="120"/>
      </w:pPr>
    </w:p>
    <w:p>
      <w:pPr>
        <w:pStyle w:val="Heading2"/>
        <w:spacing w:after="100" w:before="240"/>
      </w:pPr>
      <w:r>
        <w:rPr>
          <w:b/>
          <w:bCs/>
          <w:color w:val="1F3864"/>
          <w:sz w:val="22"/>
          <w:szCs w:val="22"/>
        </w:rPr>
        <w:t xml:space="preserve">Personal information involved (check all that apply)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8860"/>
      </w:tblGrid>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Social Security number</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Driver's license / state ID / tribal ID number</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Financial account or card number with security/access code</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Medical record information</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Taxpayer identification number</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IRS identity protection PIN</w:t>
            </w:r>
          </w:p>
        </w:tc>
      </w:tr>
    </w:tbl>
    <w:p>
      <w:pPr>
        <w:spacing w:before="200"/>
      </w:pPr>
    </w:p>
    <w:p>
      <w:pPr>
        <w:pStyle w:val="Heading2"/>
        <w:spacing w:after="100" w:before="240"/>
      </w:pPr>
      <w:r>
        <w:rPr>
          <w:b/>
          <w:bCs/>
          <w:color w:val="1F3864"/>
          <w:sz w:val="22"/>
          <w:szCs w:val="22"/>
        </w:rPr>
        <w:t xml:space="preserve">Notification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shd w:fill="F2F2F2" w:val="clear"/>
            <w:tcMar>
              <w:top w:type="dxa" w:w="80"/>
              <w:left w:type="dxa" w:w="100"/>
              <w:bottom w:type="dxa" w:w="80"/>
              <w:right w:type="dxa" w:w="100"/>
            </w:tcMar>
            <w:vAlign w:val="center"/>
          </w:tcPr>
          <w:p>
            <w:r>
              <w:rPr>
                <w:b/>
                <w:bCs/>
                <w:sz w:val="18"/>
                <w:szCs w:val="18"/>
              </w:rPr>
              <w:t xml:space="preserve">Total individuals affected (all states)</w:t>
            </w:r>
          </w:p>
        </w:tc>
        <w:tc>
          <w:tcPr>
            <w:tcW w:type="dxa" w:w="6960"/>
            <w:tcMar>
              <w:top w:type="dxa" w:w="80"/>
              <w:left w:type="dxa" w:w="100"/>
              <w:bottom w:type="dxa" w:w="80"/>
              <w:right w:type="dxa" w:w="100"/>
            </w:tcMar>
          </w:tcPr>
          <w:p>
            <w:r>
              <w:rPr>
                <w:sz w:val="18"/>
                <w:szCs w:val="18"/>
              </w:rPr>
              <w:t xml:space="preserve"/>
            </w:r>
          </w:p>
        </w:tc>
      </w:tr>
      <w:tr>
        <w:tc>
          <w:tcPr>
            <w:tcW w:type="dxa" w:w="2400"/>
            <w:shd w:fill="F2F2F2" w:val="clear"/>
            <w:tcMar>
              <w:top w:type="dxa" w:w="80"/>
              <w:left w:type="dxa" w:w="100"/>
              <w:bottom w:type="dxa" w:w="80"/>
              <w:right w:type="dxa" w:w="100"/>
            </w:tcMar>
            <w:vAlign w:val="center"/>
          </w:tcPr>
          <w:p>
            <w:r>
              <w:rPr>
                <w:b/>
                <w:bCs/>
                <w:sz w:val="18"/>
                <w:szCs w:val="18"/>
              </w:rPr>
              <w:t xml:space="preserve">Number of Montana residents notified</w:t>
            </w:r>
          </w:p>
        </w:tc>
        <w:tc>
          <w:tcPr>
            <w:tcW w:type="dxa" w:w="6960"/>
            <w:tcMar>
              <w:top w:type="dxa" w:w="80"/>
              <w:left w:type="dxa" w:w="100"/>
              <w:bottom w:type="dxa" w:w="80"/>
              <w:right w:type="dxa" w:w="100"/>
            </w:tcMar>
          </w:tcPr>
          <w:p>
            <w:r>
              <w:rPr>
                <w:sz w:val="18"/>
                <w:szCs w:val="18"/>
              </w:rPr>
              <w:t xml:space="preserve"/>
            </w:r>
          </w:p>
        </w:tc>
      </w:tr>
      <w:tr>
        <w:tc>
          <w:tcPr>
            <w:tcW w:type="dxa" w:w="2400"/>
            <w:shd w:fill="F2F2F2" w:val="clear"/>
            <w:tcMar>
              <w:top w:type="dxa" w:w="80"/>
              <w:left w:type="dxa" w:w="100"/>
              <w:bottom w:type="dxa" w:w="80"/>
              <w:right w:type="dxa" w:w="100"/>
            </w:tcMar>
            <w:vAlign w:val="center"/>
          </w:tcPr>
          <w:p>
            <w:r>
              <w:rPr>
                <w:b/>
                <w:bCs/>
                <w:sz w:val="18"/>
                <w:szCs w:val="18"/>
              </w:rPr>
              <w:t xml:space="preserve">Date(s) notice distributed to residents</w:t>
            </w:r>
          </w:p>
        </w:tc>
        <w:tc>
          <w:tcPr>
            <w:tcW w:type="dxa" w:w="6960"/>
            <w:tcMar>
              <w:top w:type="dxa" w:w="80"/>
              <w:left w:type="dxa" w:w="100"/>
              <w:bottom w:type="dxa" w:w="80"/>
              <w:right w:type="dxa" w:w="100"/>
            </w:tcMar>
          </w:tcPr>
          <w:p>
            <w:r>
              <w:rPr>
                <w:sz w:val="18"/>
                <w:szCs w:val="18"/>
              </w:rPr>
              <w:t xml:space="preserve"/>
            </w:r>
          </w:p>
        </w:tc>
      </w:tr>
      <w:tr>
        <w:tc>
          <w:tcPr>
            <w:tcW w:type="dxa" w:w="2400"/>
            <w:shd w:fill="F2F2F2" w:val="clear"/>
            <w:tcMar>
              <w:top w:type="dxa" w:w="80"/>
              <w:left w:type="dxa" w:w="100"/>
              <w:bottom w:type="dxa" w:w="80"/>
              <w:right w:type="dxa" w:w="100"/>
            </w:tcMar>
            <w:vAlign w:val="center"/>
          </w:tcPr>
          <w:p>
            <w:r>
              <w:rPr>
                <w:b/>
                <w:bCs/>
                <w:sz w:val="18"/>
                <w:szCs w:val="18"/>
              </w:rPr>
              <w:t xml:space="preserve">Method of notice (mail / email / phone / substitute)</w:t>
            </w:r>
          </w:p>
        </w:tc>
        <w:tc>
          <w:tcPr>
            <w:tcW w:type="dxa" w:w="6960"/>
            <w:tcMar>
              <w:top w:type="dxa" w:w="80"/>
              <w:left w:type="dxa" w:w="100"/>
              <w:bottom w:type="dxa" w:w="80"/>
              <w:right w:type="dxa" w:w="100"/>
            </w:tcMar>
          </w:tcPr>
          <w:p>
            <w:r>
              <w:rPr>
                <w:sz w:val="18"/>
                <w:szCs w:val="18"/>
              </w:rPr>
              <w:t xml:space="preserve"/>
            </w:r>
          </w:p>
        </w:tc>
      </w:tr>
      <w:tr>
        <w:tc>
          <w:tcPr>
            <w:tcW w:type="dxa" w:w="2400"/>
            <w:shd w:fill="F2F2F2" w:val="clear"/>
            <w:tcMar>
              <w:top w:type="dxa" w:w="80"/>
              <w:left w:type="dxa" w:w="100"/>
              <w:bottom w:type="dxa" w:w="80"/>
              <w:right w:type="dxa" w:w="100"/>
            </w:tcMar>
            <w:vAlign w:val="center"/>
          </w:tcPr>
          <w:p>
            <w:r>
              <w:rPr>
                <w:b/>
                <w:bCs/>
                <w:sz w:val="18"/>
                <w:szCs w:val="18"/>
              </w:rPr>
              <w:t xml:space="preserve">Substitute notice used? Basis (cost &gt; $250,000 / class &gt; 500,000 / no contact info)</w:t>
            </w:r>
          </w:p>
        </w:tc>
        <w:tc>
          <w:tcPr>
            <w:tcW w:type="dxa" w:w="6960"/>
            <w:tcMar>
              <w:top w:type="dxa" w:w="80"/>
              <w:left w:type="dxa" w:w="100"/>
              <w:bottom w:type="dxa" w:w="80"/>
              <w:right w:type="dxa" w:w="100"/>
            </w:tcMar>
          </w:tcPr>
          <w:p>
            <w:r>
              <w:rPr>
                <w:sz w:val="18"/>
                <w:szCs w:val="18"/>
              </w:rPr>
              <w:t xml:space="preserve"/>
            </w:r>
          </w:p>
        </w:tc>
      </w:tr>
      <w:tr>
        <w:tc>
          <w:tcPr>
            <w:tcW w:type="dxa" w:w="2400"/>
            <w:shd w:fill="F2F2F2" w:val="clear"/>
            <w:tcMar>
              <w:top w:type="dxa" w:w="80"/>
              <w:left w:type="dxa" w:w="100"/>
              <w:bottom w:type="dxa" w:w="80"/>
              <w:right w:type="dxa" w:w="100"/>
            </w:tcMar>
            <w:vAlign w:val="center"/>
          </w:tcPr>
          <w:p>
            <w:r>
              <w:rPr>
                <w:b/>
                <w:bCs/>
                <w:sz w:val="18"/>
                <w:szCs w:val="18"/>
              </w:rPr>
              <w:t xml:space="preserve">Credit monitoring or other remediation offered</w:t>
            </w:r>
          </w:p>
        </w:tc>
        <w:tc>
          <w:tcPr>
            <w:tcW w:type="dxa" w:w="6960"/>
            <w:tcMar>
              <w:top w:type="dxa" w:w="80"/>
              <w:left w:type="dxa" w:w="100"/>
              <w:bottom w:type="dxa" w:w="80"/>
              <w:right w:type="dxa" w:w="100"/>
            </w:tcMar>
          </w:tcPr>
          <w:p>
            <w:r>
              <w:rPr>
                <w:sz w:val="18"/>
                <w:szCs w:val="18"/>
              </w:rPr>
              <w:t xml:space="preserve"/>
            </w:r>
          </w:p>
        </w:tc>
      </w:tr>
      <w:tr>
        <w:tc>
          <w:tcPr>
            <w:tcW w:type="dxa" w:w="2400"/>
            <w:shd w:fill="F2F2F2" w:val="clear"/>
            <w:tcMar>
              <w:top w:type="dxa" w:w="80"/>
              <w:left w:type="dxa" w:w="100"/>
              <w:bottom w:type="dxa" w:w="80"/>
              <w:right w:type="dxa" w:w="100"/>
            </w:tcMar>
            <w:vAlign w:val="center"/>
          </w:tcPr>
          <w:p>
            <w:r>
              <w:rPr>
                <w:b/>
                <w:bCs/>
                <w:sz w:val="18"/>
                <w:szCs w:val="18"/>
              </w:rPr>
              <w:t xml:space="preserve">Law enforcement contacted? (agency, date)</w:t>
            </w:r>
          </w:p>
        </w:tc>
        <w:tc>
          <w:tcPr>
            <w:tcW w:type="dxa" w:w="6960"/>
            <w:tcMar>
              <w:top w:type="dxa" w:w="80"/>
              <w:left w:type="dxa" w:w="100"/>
              <w:bottom w:type="dxa" w:w="80"/>
              <w:right w:type="dxa" w:w="100"/>
            </w:tcMar>
          </w:tcPr>
          <w:p>
            <w:r>
              <w:rPr>
                <w:sz w:val="18"/>
                <w:szCs w:val="18"/>
              </w:rPr>
              <w:t xml:space="preserve"/>
            </w:r>
          </w:p>
        </w:tc>
      </w:tr>
    </w:tbl>
    <w:p>
      <w:pPr>
        <w:spacing w:before="200"/>
      </w:pPr>
    </w:p>
    <w:p>
      <w:pPr>
        <w:pStyle w:val="Heading2"/>
        <w:spacing w:after="100" w:before="240"/>
      </w:pPr>
      <w:r>
        <w:rPr>
          <w:b/>
          <w:bCs/>
          <w:color w:val="1F3864"/>
          <w:sz w:val="22"/>
          <w:szCs w:val="22"/>
        </w:rPr>
        <w:t xml:space="preserve">Certification</w:t>
      </w:r>
    </w:p>
    <w:p>
      <w:pPr>
        <w:spacing w:after="120"/>
      </w:pPr>
      <w:r>
        <w:rPr>
          <w:sz w:val="20"/>
          <w:szCs w:val="20"/>
        </w:rPr>
        <w:t xml:space="preserve">I certify that the information above is accurate to the best of my knowledge and that a copy of the notice provided to affected Montana residents is attached or has been provided to this office.</w:t>
      </w:r>
    </w:p>
    <w:p>
      <w:pPr>
        <w:spacing w:before="3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shd w:fill="F2F2F2" w:val="clear"/>
            <w:tcMar>
              <w:top w:type="dxa" w:w="80"/>
              <w:left w:type="dxa" w:w="100"/>
              <w:bottom w:type="dxa" w:w="80"/>
              <w:right w:type="dxa" w:w="100"/>
            </w:tcMar>
            <w:vAlign w:val="center"/>
          </w:tcPr>
          <w:p>
            <w:r>
              <w:rPr>
                <w:b/>
                <w:bCs/>
                <w:sz w:val="18"/>
                <w:szCs w:val="18"/>
              </w:rPr>
              <w:t xml:space="preserve">Signature</w:t>
            </w:r>
          </w:p>
        </w:tc>
        <w:tc>
          <w:tcPr>
            <w:tcW w:type="dxa" w:w="6960"/>
            <w:tcMar>
              <w:top w:type="dxa" w:w="80"/>
              <w:left w:type="dxa" w:w="100"/>
              <w:bottom w:type="dxa" w:w="80"/>
              <w:right w:type="dxa" w:w="100"/>
            </w:tcMar>
          </w:tcPr>
          <w:p>
            <w:r>
              <w:rPr>
                <w:sz w:val="18"/>
                <w:szCs w:val="18"/>
              </w:rPr>
              <w:t xml:space="preserve"/>
            </w:r>
          </w:p>
        </w:tc>
      </w:tr>
      <w:tr>
        <w:tc>
          <w:tcPr>
            <w:tcW w:type="dxa" w:w="2400"/>
            <w:shd w:fill="F2F2F2" w:val="clear"/>
            <w:tcMar>
              <w:top w:type="dxa" w:w="80"/>
              <w:left w:type="dxa" w:w="100"/>
              <w:bottom w:type="dxa" w:w="80"/>
              <w:right w:type="dxa" w:w="100"/>
            </w:tcMar>
            <w:vAlign w:val="center"/>
          </w:tcPr>
          <w:p>
            <w:r>
              <w:rPr>
                <w:b/>
                <w:bCs/>
                <w:sz w:val="18"/>
                <w:szCs w:val="18"/>
              </w:rPr>
              <w:t xml:space="preserve">Printed Name / Title</w:t>
            </w:r>
          </w:p>
        </w:tc>
        <w:tc>
          <w:tcPr>
            <w:tcW w:type="dxa" w:w="6960"/>
            <w:tcMar>
              <w:top w:type="dxa" w:w="80"/>
              <w:left w:type="dxa" w:w="100"/>
              <w:bottom w:type="dxa" w:w="80"/>
              <w:right w:type="dxa" w:w="100"/>
            </w:tcMar>
          </w:tcPr>
          <w:p>
            <w:r>
              <w:rPr>
                <w:sz w:val="18"/>
                <w:szCs w:val="18"/>
              </w:rPr>
              <w:t xml:space="preserve"/>
            </w:r>
          </w:p>
        </w:tc>
      </w:tr>
      <w:tr>
        <w:tc>
          <w:tcPr>
            <w:tcW w:type="dxa" w:w="2400"/>
            <w:shd w:fill="F2F2F2" w:val="clear"/>
            <w:tcMar>
              <w:top w:type="dxa" w:w="80"/>
              <w:left w:type="dxa" w:w="100"/>
              <w:bottom w:type="dxa" w:w="80"/>
              <w:right w:type="dxa" w:w="100"/>
            </w:tcMar>
            <w:vAlign w:val="center"/>
          </w:tcPr>
          <w:p>
            <w:r>
              <w:rPr>
                <w:b/>
                <w:bCs/>
                <w:sz w:val="18"/>
                <w:szCs w:val="18"/>
              </w:rPr>
              <w:t xml:space="preserve">Date</w:t>
            </w:r>
          </w:p>
        </w:tc>
        <w:tc>
          <w:tcPr>
            <w:tcW w:type="dxa" w:w="6960"/>
            <w:tcMar>
              <w:top w:type="dxa" w:w="80"/>
              <w:left w:type="dxa" w:w="100"/>
              <w:bottom w:type="dxa" w:w="80"/>
              <w:right w:type="dxa" w:w="100"/>
            </w:tcMar>
          </w:tcPr>
          <w:p>
            <w:r>
              <w:rPr>
                <w:sz w:val="18"/>
                <w:szCs w:val="18"/>
              </w:rPr>
              <w:t xml:space="preserve"/>
            </w:r>
          </w:p>
        </w:tc>
      </w:tr>
    </w:tbl>
    <w:p>
      <w:pPr>
        <w:sectPr>
          <w:headerReference w:type="default" r:id="rId11"/>
          <w:footerReference w:type="default" r:id="rId12"/>
          <w:pgSz w:w="12240" w:h="15840" w:orient="portrait"/>
          <w:pgMar w:top="1080" w:right="1080" w:bottom="1080" w:left="1080" w:header="708" w:footer="708" w:gutter="0"/>
          <w:pgNumType/>
          <w:docGrid w:linePitch="360"/>
        </w:sectPr>
      </w:pPr>
    </w:p>
    <w:p>
      <w:pPr>
        <w:pStyle w:val="Heading1"/>
        <w:pBdr>
          <w:bottom w:val="single" w:color="1F3864" w:sz="6" w:space="4"/>
        </w:pBdr>
        <w:spacing w:after="160" w:before="320"/>
      </w:pPr>
      <w:r>
        <w:rPr>
          <w:b/>
          <w:bCs/>
          <w:color w:val="1F3864"/>
          <w:sz w:val="28"/>
          <w:szCs w:val="28"/>
        </w:rPr>
        <w:t xml:space="preserve">4. Template Notification Letter to Affected Montana Residents</w:t>
      </w:r>
    </w:p>
    <w:p>
      <w:pPr>
        <w:spacing w:after="160" w:before="80"/>
      </w:pPr>
      <w:r>
        <w:rPr>
          <w:i/>
          <w:iCs/>
          <w:color w:val="555555"/>
          <w:sz w:val="18"/>
          <w:szCs w:val="18"/>
        </w:rPr>
        <w:t xml:space="preserve">Montana's statute does not prescribe letter content — the elements below reflect common practice and cover what OCP expects to see referenced. Replace all bracketed [FIELDS]. Have counsel review before sending, particularly if other states' residents or sector rules (HIPAA/GLBA) are also involved.</w:t>
      </w:r>
    </w:p>
    <w:p>
      <w:pPr>
        <w:spacing w:after="120"/>
      </w:pPr>
      <w:r>
        <w:rPr>
          <w:b/>
          <w:bCs/>
          <w:sz w:val="20"/>
          <w:szCs w:val="20"/>
        </w:rPr>
        <w:t xml:space="preserve">[DATE]</w:t>
      </w:r>
    </w:p>
    <w:p>
      <w:pPr>
        <w:spacing w:after="120"/>
      </w:pPr>
      <w:r>
        <w:rPr>
          <w:sz w:val="20"/>
          <w:szCs w:val="20"/>
        </w:rPr>
        <w:t xml:space="preserve">[Resident Name]</w:t>
      </w:r>
    </w:p>
    <w:p>
      <w:pPr>
        <w:spacing w:after="120"/>
      </w:pPr>
      <w:r>
        <w:rPr>
          <w:sz w:val="20"/>
          <w:szCs w:val="20"/>
        </w:rPr>
        <w:t xml:space="preserve">[Address]</w:t>
      </w:r>
    </w:p>
    <w:p>
      <w:pPr>
        <w:spacing w:after="120"/>
      </w:pPr>
      <w:r>
        <w:rPr>
          <w:sz w:val="20"/>
          <w:szCs w:val="20"/>
        </w:rPr>
        <w:t xml:space="preserve">[City, State ZIP]</w:t>
      </w:r>
    </w:p>
    <w:p>
      <w:pPr>
        <w:spacing w:after="200"/>
      </w:pPr>
    </w:p>
    <w:p>
      <w:pPr>
        <w:spacing w:after="120"/>
      </w:pPr>
      <w:r>
        <w:rPr>
          <w:b/>
          <w:bCs/>
          <w:sz w:val="20"/>
          <w:szCs w:val="20"/>
        </w:rPr>
        <w:t xml:space="preserve">Re: Notice of Data Breach</w:t>
      </w:r>
    </w:p>
    <w:p>
      <w:pPr>
        <w:spacing w:after="100"/>
      </w:pPr>
    </w:p>
    <w:p>
      <w:pPr>
        <w:spacing w:after="120"/>
      </w:pPr>
      <w:r>
        <w:rPr>
          <w:sz w:val="20"/>
          <w:szCs w:val="20"/>
        </w:rPr>
        <w:t xml:space="preserve">Dear [Resident Name],</w:t>
      </w:r>
    </w:p>
    <w:p>
      <w:pPr>
        <w:spacing w:after="120"/>
      </w:pPr>
      <w:r>
        <w:rPr>
          <w:sz w:val="20"/>
          <w:szCs w:val="20"/>
        </w:rPr>
        <w:t xml:space="preserve">We are writing to inform you of a data security incident that may have involved some of your personal information. We take the protection of your information seriously and want to explain what happened, what information was involved, and what we are doing in response.</w:t>
      </w:r>
    </w:p>
    <w:p>
      <w:pPr>
        <w:pStyle w:val="Heading2"/>
        <w:spacing w:after="100" w:before="240"/>
      </w:pPr>
      <w:r>
        <w:rPr>
          <w:b/>
          <w:bCs/>
          <w:color w:val="1F3864"/>
          <w:sz w:val="22"/>
          <w:szCs w:val="22"/>
        </w:rPr>
        <w:t xml:space="preserve">What Happened</w:t>
      </w:r>
    </w:p>
    <w:p>
      <w:pPr>
        <w:spacing w:after="120"/>
      </w:pPr>
      <w:r>
        <w:rPr>
          <w:sz w:val="20"/>
          <w:szCs w:val="20"/>
        </w:rPr>
        <w:t xml:space="preserve">On [DATE OF DISCOVERY], [COMPANY NAME] discovered that [BRIEF DESCRIPTION OF INCIDENT — e.g., an unauthorized third party gained access to a system containing personal information]. The incident occurred on or around [DATE OF BREACH, IF KNOWN]. Upon discovery, we [CONTAINMENT STEPS TAKEN, e.g., secured the affected system, engaged a forensic investigation firm, and notified law enforcement].</w:t>
      </w:r>
    </w:p>
    <w:p>
      <w:pPr>
        <w:pStyle w:val="Heading2"/>
        <w:spacing w:after="100" w:before="240"/>
      </w:pPr>
      <w:r>
        <w:rPr>
          <w:b/>
          <w:bCs/>
          <w:color w:val="1F3864"/>
          <w:sz w:val="22"/>
          <w:szCs w:val="22"/>
        </w:rPr>
        <w:t xml:space="preserve">What Information Was Involved</w:t>
      </w:r>
    </w:p>
    <w:p>
      <w:pPr>
        <w:spacing w:after="120"/>
      </w:pPr>
      <w:r>
        <w:rPr>
          <w:sz w:val="20"/>
          <w:szCs w:val="20"/>
        </w:rPr>
        <w:t xml:space="preserve">Our investigation determined that the following types of your information may have been involved: [LIST APPLICABLE ELEMENTS — e.g., name, Social Security number, driver's license number, financial account number, medical record information, taxpayer ID, or IRS IP PIN].</w:t>
      </w:r>
    </w:p>
    <w:p>
      <w:pPr>
        <w:pStyle w:val="Heading2"/>
        <w:spacing w:after="100" w:before="240"/>
      </w:pPr>
      <w:r>
        <w:rPr>
          <w:b/>
          <w:bCs/>
          <w:color w:val="1F3864"/>
          <w:sz w:val="22"/>
          <w:szCs w:val="22"/>
        </w:rPr>
        <w:t xml:space="preserve">What We Are Doing</w:t>
      </w:r>
    </w:p>
    <w:p>
      <w:pPr>
        <w:spacing w:after="120"/>
      </w:pPr>
      <w:r>
        <w:rPr>
          <w:sz w:val="20"/>
          <w:szCs w:val="20"/>
        </w:rPr>
        <w:t xml:space="preserve">[REMEDIATION STEPS — e.g., we have secured the affected systems, are enhancing security monitoring, and have notified the Montana Office of Consumer Protection consistent with Montana law]. [IF OFFERED:] As a precaution, we are offering [CREDIT MONITORING / IDENTITY PROTECTION SERVICE] at no cost to you for [DURATION]. Instructions for enrolling are enclosed / available at [URL] using enrollment code [CODE].</w:t>
      </w:r>
    </w:p>
    <w:p>
      <w:pPr>
        <w:pStyle w:val="Heading2"/>
        <w:spacing w:after="100" w:before="240"/>
      </w:pPr>
      <w:r>
        <w:rPr>
          <w:b/>
          <w:bCs/>
          <w:color w:val="1F3864"/>
          <w:sz w:val="22"/>
          <w:szCs w:val="22"/>
        </w:rPr>
        <w:t xml:space="preserve">What You Can Do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8860"/>
      </w:tblGrid>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Review account statements and monitor your credit report for suspicious activity</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Consider placing a fraud alert or security freeze with the three major credit bureaus (Equifax, Experian, TransUnion)</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Remain alert to phishing attempts referencing this incident</w:t>
            </w:r>
          </w:p>
        </w:tc>
      </w:tr>
      <w:tr>
        <w:tc>
          <w:tcPr>
            <w:tcW w:type="dxa" w:w="500"/>
            <w:tcMar>
              <w:top w:type="dxa" w:w="60"/>
              <w:left w:type="dxa" w:w="100"/>
              <w:bottom w:type="dxa" w:w="60"/>
              <w:right w:type="dxa" w:w="60"/>
            </w:tcMar>
            <w:vAlign w:val="center"/>
          </w:tcPr>
          <w:p>
            <w:r>
              <w:rPr>
                <w:sz w:val="22"/>
                <w:szCs w:val="22"/>
              </w:rPr>
              <w:t xml:space="preserve">☐</w:t>
            </w:r>
          </w:p>
        </w:tc>
        <w:tc>
          <w:tcPr>
            <w:tcW w:type="dxa" w:w="8860"/>
            <w:tcMar>
              <w:top w:type="dxa" w:w="60"/>
              <w:left w:type="dxa" w:w="60"/>
              <w:bottom w:type="dxa" w:w="60"/>
              <w:right w:type="dxa" w:w="100"/>
            </w:tcMar>
            <w:vAlign w:val="center"/>
          </w:tcPr>
          <w:p>
            <w:r>
              <w:rPr>
                <w:sz w:val="19"/>
                <w:szCs w:val="19"/>
              </w:rPr>
              <w:t xml:space="preserve">Enroll in the credit monitoring service described above, if offered</w:t>
            </w:r>
          </w:p>
        </w:tc>
      </w:tr>
    </w:tbl>
    <w:p>
      <w:pPr>
        <w:pStyle w:val="Heading2"/>
        <w:spacing w:after="100" w:before="240"/>
      </w:pPr>
      <w:r>
        <w:rPr>
          <w:b/>
          <w:bCs/>
          <w:color w:val="1F3864"/>
          <w:sz w:val="22"/>
          <w:szCs w:val="22"/>
        </w:rPr>
        <w:t xml:space="preserve">For More Information</w:t>
      </w:r>
    </w:p>
    <w:p>
      <w:pPr>
        <w:spacing w:after="120"/>
      </w:pPr>
      <w:r>
        <w:rPr>
          <w:sz w:val="20"/>
          <w:szCs w:val="20"/>
        </w:rPr>
        <w:t xml:space="preserve">If you have questions, please contact us at [PHONE NUMBER] ([HOURS]) or [EMAIL/ADDRESS].</w:t>
      </w:r>
    </w:p>
    <w:p>
      <w:pPr>
        <w:spacing w:after="200"/>
      </w:pPr>
    </w:p>
    <w:p>
      <w:pPr>
        <w:spacing w:after="120"/>
      </w:pPr>
      <w:r>
        <w:rPr>
          <w:sz w:val="20"/>
          <w:szCs w:val="20"/>
        </w:rPr>
        <w:t xml:space="preserve">Sincerely,</w:t>
      </w:r>
    </w:p>
    <w:p>
      <w:pPr>
        <w:spacing w:after="300"/>
      </w:pPr>
    </w:p>
    <w:p>
      <w:pPr>
        <w:spacing w:after="120"/>
      </w:pPr>
      <w:r>
        <w:rPr>
          <w:sz w:val="20"/>
          <w:szCs w:val="20"/>
        </w:rPr>
        <w:t xml:space="preserve">[NAME]</w:t>
      </w:r>
    </w:p>
    <w:p>
      <w:pPr>
        <w:spacing w:after="120"/>
      </w:pPr>
      <w:r>
        <w:rPr>
          <w:sz w:val="20"/>
          <w:szCs w:val="20"/>
        </w:rPr>
        <w:t xml:space="preserve">[TITLE]</w:t>
      </w:r>
    </w:p>
    <w:p>
      <w:pPr>
        <w:spacing w:after="120"/>
      </w:pPr>
      <w:r>
        <w:rPr>
          <w:sz w:val="20"/>
          <w:szCs w:val="20"/>
        </w:rPr>
        <w:t xml:space="preserve">[COMPANY NAME]</w:t>
      </w:r>
    </w:p>
    <w:sectPr>
      <w:headerReference w:type="default" r:id="rId13"/>
      <w:footerReference w:type="default" r:id="rId14"/>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14"/>
        <w:szCs w:val="14"/>
      </w:rPr>
      <w:t xml:space="preserve">Page </w:t>
    </w:r>
    <w:r>
      <w:rPr>
        <w:sz w:val="14"/>
        <w:szCs w:val="14"/>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14"/>
        <w:szCs w:val="14"/>
      </w:rPr>
      <w:t xml:space="preserve">Page </w:t>
    </w:r>
    <w:r>
      <w:rPr>
        <w:sz w:val="14"/>
        <w:szCs w:val="14"/>
      </w:rPr>
      <w:fldChar w:fldCharType="begin"/>
      <w:instrText xml:space="preserve">PAGE</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14"/>
        <w:szCs w:val="14"/>
      </w:rPr>
      <w:t xml:space="preserve">Page </w:t>
    </w:r>
    <w:r>
      <w:rPr>
        <w:sz w:val="14"/>
        <w:szCs w:val="14"/>
      </w:rPr>
      <w:fldChar w:fldCharType="begin"/>
      <w:instrText xml:space="preserve">PAGE</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14"/>
        <w:szCs w:val="14"/>
      </w:rPr>
      <w:t xml:space="preserve">Page </w:t>
    </w:r>
    <w:r>
      <w:rPr>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88888"/>
        <w:sz w:val="14"/>
        <w:szCs w:val="14"/>
      </w:rPr>
      <w:t xml:space="preserve">Montana Data Breach Notification Toolkit — PBM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88888"/>
        <w:sz w:val="14"/>
        <w:szCs w:val="14"/>
      </w:rPr>
      <w:t xml:space="preserve">Montana Data Breach Notification Toolkit — PBM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88888"/>
        <w:sz w:val="14"/>
        <w:szCs w:val="14"/>
      </w:rPr>
      <w:t xml:space="preserve">Montana Data Breach Notification Toolkit — PBM</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88888"/>
        <w:sz w:val="14"/>
        <w:szCs w:val="14"/>
      </w:rPr>
      <w:t xml:space="preserve">Montana Data Breach Notification Toolkit — PBM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word/_rels/header4.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2026-09-06T13:19:44.230Z</dcterms:created>
  <dcterms:modified xsi:type="dcterms:W3CDTF">2026-09-06T13:19:44.244Z</dcterms:modified>
</cp:coreProperties>
</file>

<file path=docProps/custom.xml><?xml version="1.0" encoding="utf-8"?>
<Properties xmlns="http://schemas.openxmlformats.org/officeDocument/2006/custom-properties" xmlns:vt="http://schemas.openxmlformats.org/officeDocument/2006/docPropsVTypes"/>
</file>